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938B9" w14:textId="3EAB7146" w:rsidR="004A45A5" w:rsidRDefault="004A45A5" w:rsidP="006551C6">
      <w:pPr>
        <w:suppressAutoHyphens/>
        <w:jc w:val="both"/>
        <w:rPr>
          <w:spacing w:val="-3"/>
          <w:szCs w:val="24"/>
        </w:rPr>
      </w:pPr>
      <w:bookmarkStart w:id="0" w:name="_GoBack"/>
      <w:bookmarkEnd w:id="0"/>
    </w:p>
    <w:p w14:paraId="4E43DA47" w14:textId="45280BD6" w:rsidR="004A45A5" w:rsidRPr="004A45A5" w:rsidRDefault="004A45A5" w:rsidP="004A45A5">
      <w:pPr>
        <w:widowControl/>
        <w:jc w:val="center"/>
        <w:rPr>
          <w:snapToGrid/>
          <w:szCs w:val="24"/>
          <w:lang w:eastAsia="hr-HR"/>
        </w:rPr>
      </w:pPr>
      <w:r>
        <w:rPr>
          <w:noProof/>
          <w:snapToGrid/>
          <w:szCs w:val="24"/>
          <w:lang w:eastAsia="hr-HR"/>
        </w:rPr>
        <w:drawing>
          <wp:inline distT="0" distB="0" distL="0" distR="0" wp14:anchorId="561066C8" wp14:editId="5BCF922F">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4A45A5">
        <w:rPr>
          <w:snapToGrid/>
          <w:szCs w:val="24"/>
          <w:lang w:eastAsia="hr-HR"/>
        </w:rPr>
        <w:fldChar w:fldCharType="begin"/>
      </w:r>
      <w:r w:rsidRPr="004A45A5">
        <w:rPr>
          <w:snapToGrid/>
          <w:szCs w:val="24"/>
          <w:lang w:eastAsia="hr-HR"/>
        </w:rPr>
        <w:instrText xml:space="preserve"> INCLUDEPICTURE "http://www.inet.hr/~box/images/grb-rh.gif" \* MERGEFORMATINET </w:instrText>
      </w:r>
      <w:r w:rsidRPr="004A45A5">
        <w:rPr>
          <w:snapToGrid/>
          <w:szCs w:val="24"/>
          <w:lang w:eastAsia="hr-HR"/>
        </w:rPr>
        <w:fldChar w:fldCharType="end"/>
      </w:r>
    </w:p>
    <w:p w14:paraId="1C19A48C" w14:textId="77777777" w:rsidR="004A45A5" w:rsidRPr="004A45A5" w:rsidRDefault="004A45A5" w:rsidP="004A45A5">
      <w:pPr>
        <w:widowControl/>
        <w:spacing w:before="60" w:after="1680"/>
        <w:jc w:val="center"/>
        <w:rPr>
          <w:snapToGrid/>
          <w:sz w:val="28"/>
          <w:szCs w:val="24"/>
          <w:lang w:eastAsia="hr-HR"/>
        </w:rPr>
      </w:pPr>
      <w:r w:rsidRPr="004A45A5">
        <w:rPr>
          <w:snapToGrid/>
          <w:sz w:val="28"/>
          <w:szCs w:val="24"/>
          <w:lang w:eastAsia="hr-HR"/>
        </w:rPr>
        <w:t>VLADA REPUBLIKE HRVATSKE</w:t>
      </w:r>
    </w:p>
    <w:p w14:paraId="1ECA3EAA" w14:textId="77777777" w:rsidR="004A45A5" w:rsidRPr="004A45A5" w:rsidRDefault="004A45A5" w:rsidP="004A45A5">
      <w:pPr>
        <w:widowControl/>
        <w:rPr>
          <w:snapToGrid/>
          <w:szCs w:val="24"/>
          <w:lang w:eastAsia="hr-HR"/>
        </w:rPr>
      </w:pPr>
    </w:p>
    <w:p w14:paraId="451C9F87" w14:textId="0EE4B6A2" w:rsidR="004A45A5" w:rsidRPr="004A45A5" w:rsidRDefault="0034701B" w:rsidP="0034701B">
      <w:pPr>
        <w:widowControl/>
        <w:tabs>
          <w:tab w:val="left" w:pos="313"/>
          <w:tab w:val="right" w:pos="9072"/>
        </w:tabs>
        <w:spacing w:after="2400"/>
        <w:rPr>
          <w:snapToGrid/>
          <w:szCs w:val="24"/>
          <w:lang w:eastAsia="hr-HR"/>
        </w:rPr>
      </w:pPr>
      <w:r>
        <w:rPr>
          <w:snapToGrid/>
          <w:szCs w:val="24"/>
          <w:lang w:eastAsia="hr-HR"/>
        </w:rPr>
        <w:tab/>
      </w:r>
      <w:r>
        <w:rPr>
          <w:snapToGrid/>
          <w:szCs w:val="24"/>
          <w:lang w:eastAsia="hr-HR"/>
        </w:rPr>
        <w:tab/>
      </w:r>
      <w:r w:rsidR="004A45A5" w:rsidRPr="004A45A5">
        <w:rPr>
          <w:snapToGrid/>
          <w:szCs w:val="24"/>
          <w:lang w:eastAsia="hr-HR"/>
        </w:rPr>
        <w:t>Zagreb, 23. siječnja 2019.</w:t>
      </w:r>
    </w:p>
    <w:tbl>
      <w:tblPr>
        <w:tblW w:w="0" w:type="auto"/>
        <w:tblLook w:val="04A0" w:firstRow="1" w:lastRow="0" w:firstColumn="1" w:lastColumn="0" w:noHBand="0" w:noVBand="1"/>
      </w:tblPr>
      <w:tblGrid>
        <w:gridCol w:w="1949"/>
        <w:gridCol w:w="7123"/>
      </w:tblGrid>
      <w:tr w:rsidR="004A45A5" w:rsidRPr="004A45A5" w14:paraId="370A86D1" w14:textId="77777777" w:rsidTr="00885F21">
        <w:tc>
          <w:tcPr>
            <w:tcW w:w="1951" w:type="dxa"/>
            <w:shd w:val="clear" w:color="auto" w:fill="auto"/>
          </w:tcPr>
          <w:p w14:paraId="7620D6E8" w14:textId="77777777" w:rsidR="004A45A5" w:rsidRPr="004A45A5" w:rsidRDefault="004A45A5" w:rsidP="00885F21">
            <w:pPr>
              <w:widowControl/>
              <w:spacing w:line="360" w:lineRule="auto"/>
              <w:jc w:val="right"/>
              <w:rPr>
                <w:snapToGrid/>
                <w:szCs w:val="24"/>
                <w:lang w:eastAsia="hr-HR"/>
              </w:rPr>
            </w:pPr>
            <w:r w:rsidRPr="004A45A5">
              <w:rPr>
                <w:b/>
                <w:smallCaps/>
                <w:snapToGrid/>
                <w:szCs w:val="24"/>
                <w:lang w:eastAsia="hr-HR"/>
              </w:rPr>
              <w:t>Predlagatelj</w:t>
            </w:r>
            <w:r w:rsidRPr="004A45A5">
              <w:rPr>
                <w:b/>
                <w:snapToGrid/>
                <w:szCs w:val="24"/>
                <w:lang w:eastAsia="hr-HR"/>
              </w:rPr>
              <w:t>:</w:t>
            </w:r>
          </w:p>
        </w:tc>
        <w:tc>
          <w:tcPr>
            <w:tcW w:w="7229" w:type="dxa"/>
            <w:shd w:val="clear" w:color="auto" w:fill="auto"/>
          </w:tcPr>
          <w:p w14:paraId="64E16C74" w14:textId="5BAEBD58" w:rsidR="004A45A5" w:rsidRPr="004A45A5" w:rsidRDefault="004A45A5" w:rsidP="004A45A5">
            <w:pPr>
              <w:widowControl/>
              <w:spacing w:line="360" w:lineRule="auto"/>
              <w:jc w:val="both"/>
              <w:rPr>
                <w:snapToGrid/>
                <w:szCs w:val="24"/>
                <w:lang w:eastAsia="hr-HR"/>
              </w:rPr>
            </w:pPr>
            <w:r w:rsidRPr="004A45A5">
              <w:rPr>
                <w:snapToGrid/>
                <w:szCs w:val="24"/>
                <w:lang w:eastAsia="hr-HR"/>
              </w:rPr>
              <w:t>Ministarstvo</w:t>
            </w:r>
            <w:r>
              <w:rPr>
                <w:snapToGrid/>
                <w:szCs w:val="24"/>
                <w:lang w:eastAsia="hr-HR"/>
              </w:rPr>
              <w:t xml:space="preserve"> </w:t>
            </w:r>
            <w:r w:rsidRPr="004A45A5">
              <w:rPr>
                <w:snapToGrid/>
                <w:szCs w:val="24"/>
                <w:lang w:eastAsia="hr-HR"/>
              </w:rPr>
              <w:t>gospodarstva, poduzetništva i obrta</w:t>
            </w:r>
          </w:p>
        </w:tc>
      </w:tr>
    </w:tbl>
    <w:p w14:paraId="29E2D040" w14:textId="77777777" w:rsidR="004A45A5" w:rsidRPr="004A45A5" w:rsidRDefault="004A45A5" w:rsidP="004A45A5">
      <w:pPr>
        <w:widowControl/>
        <w:spacing w:line="360" w:lineRule="auto"/>
        <w:rPr>
          <w:snapToGrid/>
          <w:szCs w:val="24"/>
          <w:lang w:eastAsia="hr-HR"/>
        </w:rPr>
      </w:pPr>
      <w:r w:rsidRPr="004A45A5">
        <w:rPr>
          <w:snapToGrid/>
          <w:szCs w:val="24"/>
          <w:lang w:eastAsia="hr-HR"/>
        </w:rPr>
        <w:t>__________________________________________________________________________</w:t>
      </w:r>
    </w:p>
    <w:p w14:paraId="4C04B3A6" w14:textId="77777777" w:rsidR="004A45A5" w:rsidRPr="004A45A5" w:rsidRDefault="004A45A5" w:rsidP="004A45A5">
      <w:pPr>
        <w:widowControl/>
        <w:tabs>
          <w:tab w:val="left" w:pos="2880"/>
        </w:tabs>
        <w:rPr>
          <w:snapToGrid/>
          <w:szCs w:val="24"/>
          <w:lang w:eastAsia="hr-HR"/>
        </w:rPr>
      </w:pPr>
      <w:r w:rsidRPr="004A45A5">
        <w:rPr>
          <w:snapToGrid/>
          <w:szCs w:val="24"/>
          <w:lang w:eastAsia="hr-HR"/>
        </w:rPr>
        <w:tab/>
      </w:r>
    </w:p>
    <w:tbl>
      <w:tblPr>
        <w:tblW w:w="0" w:type="auto"/>
        <w:tblLook w:val="04A0" w:firstRow="1" w:lastRow="0" w:firstColumn="1" w:lastColumn="0" w:noHBand="0" w:noVBand="1"/>
      </w:tblPr>
      <w:tblGrid>
        <w:gridCol w:w="1940"/>
        <w:gridCol w:w="7132"/>
      </w:tblGrid>
      <w:tr w:rsidR="004A45A5" w:rsidRPr="004A45A5" w14:paraId="75552245" w14:textId="77777777" w:rsidTr="00885F21">
        <w:tc>
          <w:tcPr>
            <w:tcW w:w="1951" w:type="dxa"/>
            <w:shd w:val="clear" w:color="auto" w:fill="auto"/>
          </w:tcPr>
          <w:p w14:paraId="6B6CD2D3" w14:textId="77777777" w:rsidR="004A45A5" w:rsidRPr="004A45A5" w:rsidRDefault="004A45A5" w:rsidP="00885F21">
            <w:pPr>
              <w:widowControl/>
              <w:spacing w:line="360" w:lineRule="auto"/>
              <w:rPr>
                <w:snapToGrid/>
                <w:szCs w:val="24"/>
                <w:lang w:eastAsia="hr-HR"/>
              </w:rPr>
            </w:pPr>
            <w:r w:rsidRPr="004A45A5">
              <w:rPr>
                <w:b/>
                <w:smallCaps/>
                <w:snapToGrid/>
                <w:szCs w:val="24"/>
                <w:lang w:eastAsia="hr-HR"/>
              </w:rPr>
              <w:t xml:space="preserve">   Predmet</w:t>
            </w:r>
            <w:r w:rsidRPr="004A45A5">
              <w:rPr>
                <w:b/>
                <w:snapToGrid/>
                <w:szCs w:val="24"/>
                <w:lang w:eastAsia="hr-HR"/>
              </w:rPr>
              <w:t>:</w:t>
            </w:r>
          </w:p>
        </w:tc>
        <w:tc>
          <w:tcPr>
            <w:tcW w:w="7229" w:type="dxa"/>
            <w:shd w:val="clear" w:color="auto" w:fill="auto"/>
          </w:tcPr>
          <w:p w14:paraId="48E0DB98" w14:textId="100649F5" w:rsidR="004A45A5" w:rsidRPr="004A45A5" w:rsidRDefault="004A45A5" w:rsidP="004A45A5">
            <w:pPr>
              <w:widowControl/>
              <w:spacing w:line="360" w:lineRule="auto"/>
              <w:jc w:val="both"/>
              <w:rPr>
                <w:snapToGrid/>
                <w:szCs w:val="24"/>
                <w:lang w:eastAsia="hr-HR"/>
              </w:rPr>
            </w:pPr>
            <w:r w:rsidRPr="004A45A5">
              <w:rPr>
                <w:snapToGrid/>
                <w:szCs w:val="24"/>
                <w:lang w:eastAsia="hr-HR"/>
              </w:rPr>
              <w:t>Verifikacija odgovora na zastupničko pitanje Peđe Grbina i Damira Tomića, u vezi s društvom Petrokemija d.d.</w:t>
            </w:r>
          </w:p>
        </w:tc>
      </w:tr>
    </w:tbl>
    <w:p w14:paraId="4FD2D540" w14:textId="74E69301" w:rsidR="004A45A5" w:rsidRPr="004A45A5" w:rsidRDefault="004A45A5" w:rsidP="004A45A5">
      <w:pPr>
        <w:widowControl/>
        <w:spacing w:after="2400"/>
        <w:jc w:val="right"/>
        <w:rPr>
          <w:snapToGrid/>
          <w:szCs w:val="24"/>
          <w:lang w:eastAsia="hr-HR"/>
        </w:rPr>
      </w:pPr>
      <w:r>
        <w:rPr>
          <w:snapToGrid/>
          <w:szCs w:val="24"/>
          <w:lang w:eastAsia="hr-HR"/>
        </w:rPr>
        <w:t>___________________________________________________________________________</w:t>
      </w:r>
    </w:p>
    <w:p w14:paraId="073A5D59" w14:textId="4CA27271" w:rsidR="004A45A5" w:rsidRDefault="004A45A5" w:rsidP="004A45A5">
      <w:pPr>
        <w:widowControl/>
        <w:tabs>
          <w:tab w:val="right" w:pos="1701"/>
          <w:tab w:val="left" w:pos="1843"/>
        </w:tabs>
        <w:spacing w:line="360" w:lineRule="auto"/>
        <w:rPr>
          <w:b/>
          <w:smallCaps/>
          <w:snapToGrid/>
          <w:szCs w:val="24"/>
          <w:lang w:eastAsia="hr-HR"/>
        </w:rPr>
      </w:pPr>
    </w:p>
    <w:p w14:paraId="5F63BB7B" w14:textId="77777777" w:rsidR="004A45A5" w:rsidRPr="004A45A5" w:rsidRDefault="004A45A5" w:rsidP="004A45A5">
      <w:pPr>
        <w:rPr>
          <w:szCs w:val="24"/>
          <w:lang w:eastAsia="hr-HR"/>
        </w:rPr>
      </w:pPr>
    </w:p>
    <w:p w14:paraId="0F0D343E" w14:textId="101C3667" w:rsidR="004A45A5" w:rsidRDefault="004A45A5" w:rsidP="004A45A5">
      <w:pPr>
        <w:rPr>
          <w:szCs w:val="24"/>
          <w:lang w:eastAsia="hr-HR"/>
        </w:rPr>
      </w:pPr>
    </w:p>
    <w:p w14:paraId="255FC34B" w14:textId="16181205" w:rsidR="004A45A5" w:rsidRDefault="004A45A5" w:rsidP="004A45A5">
      <w:pPr>
        <w:tabs>
          <w:tab w:val="left" w:pos="1640"/>
        </w:tabs>
        <w:rPr>
          <w:szCs w:val="24"/>
          <w:lang w:eastAsia="hr-HR"/>
        </w:rPr>
      </w:pPr>
      <w:r>
        <w:rPr>
          <w:szCs w:val="24"/>
          <w:lang w:eastAsia="hr-HR"/>
        </w:rPr>
        <w:tab/>
      </w:r>
    </w:p>
    <w:p w14:paraId="0C144E2E" w14:textId="0207EE91" w:rsidR="004A45A5" w:rsidRDefault="004A45A5" w:rsidP="004A45A5">
      <w:pPr>
        <w:rPr>
          <w:szCs w:val="24"/>
          <w:lang w:eastAsia="hr-HR"/>
        </w:rPr>
      </w:pPr>
    </w:p>
    <w:p w14:paraId="0557D877" w14:textId="77777777" w:rsidR="004A45A5" w:rsidRPr="004A45A5" w:rsidRDefault="004A45A5" w:rsidP="004A45A5">
      <w:pPr>
        <w:rPr>
          <w:szCs w:val="24"/>
          <w:lang w:eastAsia="hr-HR"/>
        </w:rPr>
        <w:sectPr w:rsidR="004A45A5" w:rsidRPr="004A45A5" w:rsidSect="00F81E0E">
          <w:footerReference w:type="default" r:id="rId12"/>
          <w:footerReference w:type="first" r:id="rId13"/>
          <w:pgSz w:w="11906" w:h="16838"/>
          <w:pgMar w:top="993" w:right="1417" w:bottom="1417" w:left="1417" w:header="709" w:footer="658" w:gutter="0"/>
          <w:cols w:space="708"/>
          <w:docGrid w:linePitch="360"/>
        </w:sectPr>
      </w:pPr>
    </w:p>
    <w:p w14:paraId="4CC938BC" w14:textId="46306AEA" w:rsidR="007577B3" w:rsidRPr="00C57E5F" w:rsidRDefault="005D6EF1" w:rsidP="00F5702D">
      <w:pPr>
        <w:suppressAutoHyphens/>
        <w:jc w:val="both"/>
        <w:rPr>
          <w:spacing w:val="-3"/>
          <w:szCs w:val="24"/>
        </w:rPr>
      </w:pPr>
      <w:r>
        <w:rPr>
          <w:spacing w:val="-3"/>
          <w:szCs w:val="24"/>
        </w:rPr>
        <w:lastRenderedPageBreak/>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sidR="00C57E5F">
        <w:rPr>
          <w:spacing w:val="-3"/>
          <w:szCs w:val="24"/>
        </w:rPr>
        <w:tab/>
      </w:r>
      <w:r w:rsidR="00C57E5F">
        <w:rPr>
          <w:spacing w:val="-3"/>
          <w:szCs w:val="24"/>
        </w:rPr>
        <w:tab/>
      </w:r>
      <w:r w:rsidR="00C57E5F">
        <w:rPr>
          <w:spacing w:val="-3"/>
          <w:szCs w:val="24"/>
        </w:rPr>
        <w:tab/>
      </w:r>
      <w:r w:rsidR="00C57E5F" w:rsidRPr="00C57E5F">
        <w:rPr>
          <w:i/>
          <w:spacing w:val="-3"/>
          <w:szCs w:val="24"/>
        </w:rPr>
        <w:t>PRIJEDLOG</w:t>
      </w:r>
    </w:p>
    <w:p w14:paraId="4CC938BD" w14:textId="20BB1274" w:rsidR="007577B3" w:rsidRPr="00653A78" w:rsidRDefault="007577B3" w:rsidP="007577B3">
      <w:pPr>
        <w:suppressAutoHyphens/>
        <w:jc w:val="both"/>
        <w:rPr>
          <w:b/>
          <w:spacing w:val="-3"/>
          <w:szCs w:val="24"/>
        </w:rPr>
      </w:pPr>
      <w:r>
        <w:rPr>
          <w:b/>
          <w:spacing w:val="-3"/>
          <w:szCs w:val="24"/>
        </w:rPr>
        <w:t>Klasa:</w:t>
      </w:r>
      <w:r>
        <w:rPr>
          <w:b/>
          <w:spacing w:val="-3"/>
          <w:szCs w:val="24"/>
        </w:rPr>
        <w:tab/>
      </w:r>
      <w:r>
        <w:rPr>
          <w:b/>
          <w:spacing w:val="-3"/>
          <w:szCs w:val="24"/>
        </w:rPr>
        <w:tab/>
      </w:r>
    </w:p>
    <w:p w14:paraId="4CC938BE" w14:textId="2649F1D8" w:rsidR="007577B3" w:rsidRPr="00653A78" w:rsidRDefault="007577B3" w:rsidP="007577B3">
      <w:pPr>
        <w:suppressAutoHyphens/>
        <w:jc w:val="both"/>
        <w:rPr>
          <w:b/>
          <w:spacing w:val="-3"/>
          <w:szCs w:val="24"/>
        </w:rPr>
      </w:pPr>
      <w:r w:rsidRPr="00653A78">
        <w:rPr>
          <w:b/>
          <w:spacing w:val="-3"/>
          <w:szCs w:val="24"/>
        </w:rPr>
        <w:t>Urbroj:</w:t>
      </w:r>
      <w:r w:rsidRPr="00653A78">
        <w:rPr>
          <w:b/>
          <w:spacing w:val="-3"/>
          <w:szCs w:val="24"/>
        </w:rPr>
        <w:tab/>
      </w:r>
    </w:p>
    <w:p w14:paraId="4CC938BF" w14:textId="77777777" w:rsidR="007577B3" w:rsidRPr="00653A78" w:rsidRDefault="007577B3" w:rsidP="007577B3">
      <w:pPr>
        <w:suppressAutoHyphens/>
        <w:jc w:val="both"/>
        <w:rPr>
          <w:b/>
          <w:spacing w:val="-3"/>
          <w:szCs w:val="24"/>
        </w:rPr>
      </w:pPr>
    </w:p>
    <w:p w14:paraId="4CC938C0" w14:textId="00D791FE" w:rsidR="001F4C76" w:rsidRPr="00653A78" w:rsidRDefault="007577B3" w:rsidP="007577B3">
      <w:pPr>
        <w:suppressAutoHyphens/>
        <w:jc w:val="both"/>
        <w:rPr>
          <w:spacing w:val="-3"/>
          <w:szCs w:val="24"/>
        </w:rPr>
      </w:pPr>
      <w:r w:rsidRPr="00653A78">
        <w:rPr>
          <w:b/>
          <w:spacing w:val="-3"/>
          <w:szCs w:val="24"/>
        </w:rPr>
        <w:t>Zagreb,</w:t>
      </w:r>
      <w:r>
        <w:rPr>
          <w:spacing w:val="-3"/>
          <w:szCs w:val="24"/>
        </w:rPr>
        <w:tab/>
      </w:r>
      <w:r w:rsidR="00D70FE3">
        <w:rPr>
          <w:spacing w:val="-3"/>
          <w:szCs w:val="24"/>
        </w:rPr>
        <w:tab/>
      </w:r>
      <w:r w:rsidR="001F4C76" w:rsidRPr="00653A78">
        <w:rPr>
          <w:spacing w:val="-3"/>
          <w:szCs w:val="24"/>
        </w:rPr>
        <w:tab/>
      </w:r>
      <w:r w:rsidR="001F4C76" w:rsidRPr="00653A78">
        <w:rPr>
          <w:spacing w:val="-3"/>
          <w:szCs w:val="24"/>
        </w:rPr>
        <w:tab/>
      </w:r>
      <w:r w:rsidR="001F4C76" w:rsidRPr="00653A78">
        <w:rPr>
          <w:spacing w:val="-3"/>
          <w:szCs w:val="24"/>
        </w:rPr>
        <w:tab/>
      </w:r>
    </w:p>
    <w:p w14:paraId="4CC938C1" w14:textId="77777777" w:rsidR="006551C6" w:rsidRDefault="001F4C76" w:rsidP="00F5702D">
      <w:pPr>
        <w:suppressAutoHyphens/>
        <w:jc w:val="both"/>
        <w:rPr>
          <w:spacing w:val="-3"/>
          <w:szCs w:val="24"/>
        </w:rPr>
      </w:pPr>
      <w:r w:rsidRPr="00653A78">
        <w:rPr>
          <w:spacing w:val="-3"/>
          <w:szCs w:val="24"/>
        </w:rPr>
        <w:tab/>
        <w:t xml:space="preserve">                </w:t>
      </w:r>
      <w:r w:rsidRPr="00653A78">
        <w:rPr>
          <w:spacing w:val="-3"/>
          <w:szCs w:val="24"/>
        </w:rPr>
        <w:tab/>
      </w:r>
    </w:p>
    <w:p w14:paraId="4CC938C2" w14:textId="77777777" w:rsidR="001F4C76" w:rsidRPr="00653A78" w:rsidRDefault="001F4C76" w:rsidP="00F5702D">
      <w:pPr>
        <w:suppressAutoHyphens/>
        <w:jc w:val="both"/>
        <w:rPr>
          <w:spacing w:val="-3"/>
          <w:szCs w:val="24"/>
        </w:rPr>
      </w:pPr>
      <w:r w:rsidRPr="00653A78">
        <w:rPr>
          <w:spacing w:val="-3"/>
          <w:szCs w:val="24"/>
        </w:rPr>
        <w:tab/>
      </w:r>
      <w:r w:rsidRPr="00653A78">
        <w:rPr>
          <w:spacing w:val="-3"/>
          <w:szCs w:val="24"/>
        </w:rPr>
        <w:tab/>
      </w:r>
    </w:p>
    <w:p w14:paraId="4CC938C3" w14:textId="77777777" w:rsidR="001F4C76" w:rsidRPr="00653A78" w:rsidRDefault="001F4C76" w:rsidP="00F5702D">
      <w:pPr>
        <w:suppressAutoHyphens/>
        <w:jc w:val="both"/>
        <w:rPr>
          <w:b/>
          <w:spacing w:val="-3"/>
          <w:szCs w:val="24"/>
        </w:rPr>
      </w:pPr>
      <w:r w:rsidRPr="00653A78">
        <w:rPr>
          <w:spacing w:val="-3"/>
          <w:szCs w:val="24"/>
        </w:rPr>
        <w:tab/>
      </w:r>
      <w:r w:rsidRPr="00653A78">
        <w:rPr>
          <w:spacing w:val="-3"/>
          <w:szCs w:val="24"/>
        </w:rPr>
        <w:tab/>
      </w:r>
      <w:r w:rsidRPr="00653A78">
        <w:rPr>
          <w:spacing w:val="-3"/>
          <w:szCs w:val="24"/>
        </w:rPr>
        <w:tab/>
      </w:r>
      <w:r w:rsidRPr="00653A78">
        <w:rPr>
          <w:spacing w:val="-3"/>
          <w:szCs w:val="24"/>
        </w:rPr>
        <w:tab/>
      </w:r>
      <w:r w:rsidRPr="00653A78">
        <w:rPr>
          <w:spacing w:val="-3"/>
          <w:szCs w:val="24"/>
        </w:rPr>
        <w:tab/>
      </w:r>
      <w:r w:rsidRPr="00653A78">
        <w:rPr>
          <w:spacing w:val="-3"/>
          <w:szCs w:val="24"/>
        </w:rPr>
        <w:tab/>
      </w:r>
      <w:r w:rsidRPr="00653A78">
        <w:rPr>
          <w:b/>
          <w:spacing w:val="-3"/>
          <w:szCs w:val="24"/>
        </w:rPr>
        <w:t>PREDSJEDNIKU HRVATSKOGA SABORA</w:t>
      </w:r>
    </w:p>
    <w:p w14:paraId="4CC938C5" w14:textId="77777777" w:rsidR="006551C6" w:rsidRDefault="006551C6" w:rsidP="00F5702D">
      <w:pPr>
        <w:suppressAutoHyphens/>
        <w:jc w:val="both"/>
        <w:rPr>
          <w:spacing w:val="-3"/>
          <w:szCs w:val="24"/>
        </w:rPr>
      </w:pPr>
    </w:p>
    <w:p w14:paraId="4CC938C6" w14:textId="77777777" w:rsidR="001F4C76" w:rsidRPr="00653A78" w:rsidRDefault="001F4C76" w:rsidP="00F5702D">
      <w:pPr>
        <w:tabs>
          <w:tab w:val="left" w:pos="-720"/>
        </w:tabs>
        <w:suppressAutoHyphens/>
        <w:jc w:val="both"/>
        <w:rPr>
          <w:spacing w:val="-3"/>
          <w:szCs w:val="24"/>
        </w:rPr>
      </w:pPr>
    </w:p>
    <w:p w14:paraId="4CC938C7" w14:textId="77777777" w:rsidR="009178CD" w:rsidRDefault="001F4C76" w:rsidP="00A52BEA">
      <w:pPr>
        <w:tabs>
          <w:tab w:val="left" w:pos="-720"/>
        </w:tabs>
        <w:suppressAutoHyphens/>
        <w:ind w:left="1418" w:hanging="1418"/>
        <w:jc w:val="both"/>
        <w:rPr>
          <w:spacing w:val="-3"/>
          <w:szCs w:val="24"/>
        </w:rPr>
      </w:pPr>
      <w:r w:rsidRPr="00653A78">
        <w:rPr>
          <w:spacing w:val="-3"/>
          <w:szCs w:val="24"/>
        </w:rPr>
        <w:t>Predmet:</w:t>
      </w:r>
      <w:r w:rsidRPr="00653A78">
        <w:rPr>
          <w:spacing w:val="-3"/>
          <w:szCs w:val="24"/>
        </w:rPr>
        <w:tab/>
        <w:t>Zastupničko pitanje</w:t>
      </w:r>
      <w:r w:rsidR="009178CD">
        <w:rPr>
          <w:spacing w:val="-3"/>
          <w:szCs w:val="24"/>
        </w:rPr>
        <w:t xml:space="preserve"> Peđe Grbina i Damira Tomića, u vezi s društvom Petrokemija d.d. </w:t>
      </w:r>
      <w:r w:rsidR="009178CD" w:rsidRPr="009178CD">
        <w:rPr>
          <w:b/>
          <w:spacing w:val="-3"/>
          <w:szCs w:val="24"/>
        </w:rPr>
        <w:t xml:space="preserve">- </w:t>
      </w:r>
      <w:r w:rsidR="009178CD">
        <w:rPr>
          <w:spacing w:val="-3"/>
          <w:szCs w:val="24"/>
        </w:rPr>
        <w:t>odgovor Vlade</w:t>
      </w:r>
    </w:p>
    <w:p w14:paraId="4CC938C8" w14:textId="77777777" w:rsidR="001F4C76" w:rsidRPr="00653A78" w:rsidRDefault="001F4C76" w:rsidP="00F5702D">
      <w:pPr>
        <w:tabs>
          <w:tab w:val="left" w:pos="-720"/>
        </w:tabs>
        <w:suppressAutoHyphens/>
        <w:jc w:val="both"/>
        <w:rPr>
          <w:spacing w:val="-3"/>
          <w:szCs w:val="24"/>
        </w:rPr>
      </w:pPr>
    </w:p>
    <w:p w14:paraId="4CC938C9" w14:textId="77777777" w:rsidR="009178CD" w:rsidRDefault="00B8384B" w:rsidP="00F5702D">
      <w:pPr>
        <w:tabs>
          <w:tab w:val="left" w:pos="-720"/>
        </w:tabs>
        <w:suppressAutoHyphens/>
        <w:jc w:val="both"/>
      </w:pPr>
      <w:r w:rsidRPr="00653A78">
        <w:rPr>
          <w:spacing w:val="-3"/>
          <w:szCs w:val="24"/>
        </w:rPr>
        <w:tab/>
      </w:r>
      <w:r w:rsidRPr="00653A78">
        <w:rPr>
          <w:spacing w:val="-3"/>
          <w:szCs w:val="24"/>
        </w:rPr>
        <w:tab/>
      </w:r>
      <w:r w:rsidR="009178CD">
        <w:rPr>
          <w:spacing w:val="-3"/>
          <w:szCs w:val="24"/>
        </w:rPr>
        <w:t>Zastupnici</w:t>
      </w:r>
      <w:r w:rsidR="001F4C76" w:rsidRPr="00653A78">
        <w:rPr>
          <w:spacing w:val="-3"/>
          <w:szCs w:val="24"/>
        </w:rPr>
        <w:t xml:space="preserve"> u Hrvatskome saboru</w:t>
      </w:r>
      <w:r w:rsidR="00673C3F">
        <w:rPr>
          <w:spacing w:val="-3"/>
          <w:szCs w:val="24"/>
        </w:rPr>
        <w:t>,</w:t>
      </w:r>
      <w:r w:rsidR="001F4C76" w:rsidRPr="00653A78">
        <w:rPr>
          <w:spacing w:val="-3"/>
          <w:szCs w:val="24"/>
        </w:rPr>
        <w:t xml:space="preserve"> </w:t>
      </w:r>
      <w:r w:rsidR="009178CD">
        <w:rPr>
          <w:spacing w:val="-3"/>
          <w:szCs w:val="24"/>
        </w:rPr>
        <w:t>Peđa Grbin  i Damir Tomić</w:t>
      </w:r>
      <w:r w:rsidR="001F4C76" w:rsidRPr="00653A78">
        <w:rPr>
          <w:spacing w:val="-3"/>
          <w:szCs w:val="24"/>
        </w:rPr>
        <w:t>, postav</w:t>
      </w:r>
      <w:r w:rsidRPr="00653A78">
        <w:rPr>
          <w:spacing w:val="-3"/>
          <w:szCs w:val="24"/>
        </w:rPr>
        <w:t>i</w:t>
      </w:r>
      <w:r w:rsidR="009178CD">
        <w:rPr>
          <w:spacing w:val="-3"/>
          <w:szCs w:val="24"/>
        </w:rPr>
        <w:t>li su</w:t>
      </w:r>
      <w:r w:rsidR="001F4C76" w:rsidRPr="00653A78">
        <w:rPr>
          <w:spacing w:val="-3"/>
          <w:szCs w:val="24"/>
        </w:rPr>
        <w:t xml:space="preserve">, </w:t>
      </w:r>
      <w:r w:rsidR="00410E90">
        <w:rPr>
          <w:spacing w:val="-3"/>
          <w:szCs w:val="24"/>
        </w:rPr>
        <w:t>sukladno</w:t>
      </w:r>
      <w:r w:rsidR="00583DAC">
        <w:rPr>
          <w:spacing w:val="-3"/>
          <w:szCs w:val="24"/>
        </w:rPr>
        <w:t xml:space="preserve"> s</w:t>
      </w:r>
      <w:r w:rsidR="00F574D0">
        <w:rPr>
          <w:spacing w:val="-3"/>
          <w:szCs w:val="24"/>
        </w:rPr>
        <w:t xml:space="preserve"> </w:t>
      </w:r>
      <w:r w:rsidR="00F574D0" w:rsidRPr="00F574D0">
        <w:rPr>
          <w:spacing w:val="-3"/>
          <w:szCs w:val="24"/>
        </w:rPr>
        <w:t xml:space="preserve">člankom 140. Poslovnika Hrvatskoga sabora (Narodne novine, br. 81/13, 113/16, 69/17 i 29/18), </w:t>
      </w:r>
      <w:r w:rsidR="001F4C76" w:rsidRPr="00653A78">
        <w:rPr>
          <w:spacing w:val="-3"/>
          <w:szCs w:val="24"/>
        </w:rPr>
        <w:t xml:space="preserve">zastupničko pitanje </w:t>
      </w:r>
      <w:r w:rsidR="00C954F3">
        <w:rPr>
          <w:spacing w:val="-3"/>
          <w:szCs w:val="24"/>
        </w:rPr>
        <w:t xml:space="preserve">u vezi </w:t>
      </w:r>
      <w:r w:rsidR="004F338E">
        <w:t>s</w:t>
      </w:r>
      <w:r w:rsidR="009178CD" w:rsidRPr="009178CD">
        <w:t xml:space="preserve"> društvom Petrokemija d.d.</w:t>
      </w:r>
    </w:p>
    <w:p w14:paraId="4CC938CA" w14:textId="77777777" w:rsidR="00A23C4C" w:rsidRPr="00653A78" w:rsidRDefault="00A23C4C" w:rsidP="00F5702D">
      <w:pPr>
        <w:tabs>
          <w:tab w:val="left" w:pos="-720"/>
        </w:tabs>
        <w:suppressAutoHyphens/>
        <w:jc w:val="both"/>
        <w:rPr>
          <w:spacing w:val="-3"/>
          <w:szCs w:val="24"/>
        </w:rPr>
      </w:pPr>
      <w:r w:rsidRPr="00653A78">
        <w:rPr>
          <w:spacing w:val="-3"/>
          <w:szCs w:val="24"/>
        </w:rPr>
        <w:tab/>
      </w:r>
      <w:r w:rsidRPr="00653A78">
        <w:rPr>
          <w:spacing w:val="-3"/>
          <w:szCs w:val="24"/>
        </w:rPr>
        <w:tab/>
      </w:r>
    </w:p>
    <w:p w14:paraId="4CC938CB" w14:textId="77777777" w:rsidR="001F4C76" w:rsidRDefault="00A23C4C" w:rsidP="00F5702D">
      <w:pPr>
        <w:tabs>
          <w:tab w:val="left" w:pos="-720"/>
        </w:tabs>
        <w:suppressAutoHyphens/>
        <w:jc w:val="both"/>
        <w:rPr>
          <w:spacing w:val="-3"/>
          <w:szCs w:val="24"/>
        </w:rPr>
      </w:pPr>
      <w:r w:rsidRPr="00653A78">
        <w:rPr>
          <w:spacing w:val="-3"/>
          <w:szCs w:val="24"/>
        </w:rPr>
        <w:tab/>
      </w:r>
      <w:r w:rsidRPr="00653A78">
        <w:rPr>
          <w:spacing w:val="-3"/>
          <w:szCs w:val="24"/>
        </w:rPr>
        <w:tab/>
      </w:r>
      <w:r w:rsidR="00583DAC">
        <w:rPr>
          <w:spacing w:val="-3"/>
          <w:szCs w:val="24"/>
        </w:rPr>
        <w:t>Na navedeno zastupničko pitanje</w:t>
      </w:r>
      <w:r w:rsidR="001F4C76" w:rsidRPr="00653A78">
        <w:rPr>
          <w:spacing w:val="-3"/>
          <w:szCs w:val="24"/>
        </w:rPr>
        <w:t xml:space="preserve"> Vlada Republike Hrvatske daje sljedeći odgovor:</w:t>
      </w:r>
    </w:p>
    <w:p w14:paraId="4CC938CC" w14:textId="77777777" w:rsidR="0040143D" w:rsidRPr="00653A78" w:rsidRDefault="0040143D" w:rsidP="00F5702D">
      <w:pPr>
        <w:tabs>
          <w:tab w:val="left" w:pos="-720"/>
        </w:tabs>
        <w:suppressAutoHyphens/>
        <w:jc w:val="both"/>
        <w:rPr>
          <w:spacing w:val="-3"/>
          <w:szCs w:val="24"/>
        </w:rPr>
      </w:pPr>
    </w:p>
    <w:p w14:paraId="4CC938CD" w14:textId="77777777" w:rsidR="009178CD" w:rsidRDefault="009178CD" w:rsidP="009178CD">
      <w:pPr>
        <w:ind w:firstLine="1418"/>
        <w:jc w:val="both"/>
      </w:pPr>
      <w:r>
        <w:t xml:space="preserve">U vezi </w:t>
      </w:r>
      <w:r w:rsidR="003471FA">
        <w:t xml:space="preserve">s </w:t>
      </w:r>
      <w:r>
        <w:t>pitanj</w:t>
      </w:r>
      <w:r w:rsidR="003471FA">
        <w:t>em</w:t>
      </w:r>
      <w:r>
        <w:t xml:space="preserve"> koje su i koliko iznose obveze koje je država preuzela na sebe u postupku privatizacije </w:t>
      </w:r>
      <w:r w:rsidR="003471FA">
        <w:t xml:space="preserve">društva </w:t>
      </w:r>
      <w:r>
        <w:t>Petrokemij</w:t>
      </w:r>
      <w:r w:rsidR="003471FA">
        <w:t>a</w:t>
      </w:r>
      <w:r>
        <w:t xml:space="preserve"> d.d., uključujući i trošak koji će biti nužan radi sanacije odlagališta fosfogipsa</w:t>
      </w:r>
      <w:r>
        <w:rPr>
          <w:b/>
        </w:rPr>
        <w:t xml:space="preserve"> </w:t>
      </w:r>
      <w:r w:rsidR="00B65F96">
        <w:t xml:space="preserve">izvješćujemo vas </w:t>
      </w:r>
      <w:r>
        <w:t>da je Vlada Republike Hrvatske ovlastila ministra nadležnog za gospodarstvo za sklapanje ugovora temeljem kojih je, na teret sredstava Držanog proračuna Republike Hrvatske za 2018. godinu, iz razdjela Ministarstva financija isplaćen iznos od 450.000.000,00 kuna. Vezano uz trošak sanacije odlagališta fosfogipsa navodimo da u ovom trenutku ne postoje nikakve financijske obveze sanacije.</w:t>
      </w:r>
    </w:p>
    <w:p w14:paraId="4CC938CE" w14:textId="77777777" w:rsidR="009178CD" w:rsidRDefault="009178CD" w:rsidP="009178CD">
      <w:pPr>
        <w:jc w:val="both"/>
        <w:rPr>
          <w:sz w:val="20"/>
        </w:rPr>
      </w:pPr>
    </w:p>
    <w:p w14:paraId="4CC938CF" w14:textId="77777777" w:rsidR="009178CD" w:rsidRDefault="00B65F96" w:rsidP="009178CD">
      <w:pPr>
        <w:ind w:firstLine="1418"/>
        <w:jc w:val="both"/>
        <w:rPr>
          <w:szCs w:val="24"/>
        </w:rPr>
      </w:pPr>
      <w:r>
        <w:t>Nastavno na pitanje</w:t>
      </w:r>
      <w:r w:rsidR="009178CD">
        <w:t xml:space="preserve"> temeljem koje pravne osnove je Vlada Republike Hrvatske preuzela obvezu spustiti cijenu transporta plina za dodatnih 20</w:t>
      </w:r>
      <w:r w:rsidR="003471FA">
        <w:t xml:space="preserve"> </w:t>
      </w:r>
      <w:r w:rsidR="009178CD">
        <w:t>%, navodimo da je sukladno Zakonu o regulaciji energetskih djelatnosti (Narodne novine br. 120/12 i 68/18) Hrvatska energetska regulatorna agencija (u daljnjem tekstu: HERA) samostalna i neovisna pravna osoba s javnim ovlastima za regulaciju energetskih djelatnosti. Stoga je Upravno</w:t>
      </w:r>
      <w:r>
        <w:t xml:space="preserve"> vijeće HERA-e 7. prosinca 2018. godine</w:t>
      </w:r>
      <w:r w:rsidR="009178CD">
        <w:t xml:space="preserve"> donijelo Odluku o iznosu tarifnih stavki za transport plina za godine drugog regulacijskog razdoblja 2019.</w:t>
      </w:r>
      <w:r w:rsidR="003471FA">
        <w:t xml:space="preserve"> </w:t>
      </w:r>
      <w:r w:rsidR="009178CD">
        <w:t>-</w:t>
      </w:r>
      <w:r w:rsidR="003471FA">
        <w:t xml:space="preserve"> </w:t>
      </w:r>
      <w:r w:rsidR="009178CD">
        <w:t xml:space="preserve">2021. </w:t>
      </w:r>
    </w:p>
    <w:p w14:paraId="4CC938D0" w14:textId="77777777" w:rsidR="009178CD" w:rsidRDefault="009178CD" w:rsidP="009178CD">
      <w:pPr>
        <w:jc w:val="both"/>
        <w:rPr>
          <w:sz w:val="20"/>
        </w:rPr>
      </w:pPr>
    </w:p>
    <w:p w14:paraId="4CC938D1" w14:textId="77777777" w:rsidR="009178CD" w:rsidRDefault="003471FA" w:rsidP="009178CD">
      <w:pPr>
        <w:ind w:firstLine="1418"/>
        <w:jc w:val="both"/>
        <w:rPr>
          <w:szCs w:val="24"/>
        </w:rPr>
      </w:pPr>
      <w:r>
        <w:t xml:space="preserve">Zaključno, </w:t>
      </w:r>
      <w:r w:rsidR="00CB5FC8">
        <w:t xml:space="preserve">Vlada Republike Hrvatske </w:t>
      </w:r>
      <w:r w:rsidR="009178CD">
        <w:t>ne utječe izravno na cijenu plina, ali svojim sinergijskim i sveobuhvatnim mjerama unaprjeđuje poslovno okruženje, čime se dugoročno utječe na cijenu plina, te time posljedično i na sam transport.</w:t>
      </w:r>
    </w:p>
    <w:p w14:paraId="4CC938D2" w14:textId="77777777" w:rsidR="009178CD" w:rsidRDefault="009178CD" w:rsidP="009178CD">
      <w:pPr>
        <w:pStyle w:val="NoSpacing"/>
        <w:jc w:val="both"/>
        <w:rPr>
          <w:rFonts w:ascii="Times New Roman" w:hAnsi="Times New Roman" w:cs="Times New Roman"/>
          <w:szCs w:val="24"/>
        </w:rPr>
      </w:pPr>
    </w:p>
    <w:p w14:paraId="4CC938D3" w14:textId="77777777" w:rsidR="00FF76B2" w:rsidRDefault="004468CB" w:rsidP="009178CD">
      <w:pPr>
        <w:pStyle w:val="NoSpacing"/>
        <w:ind w:firstLine="708"/>
        <w:jc w:val="both"/>
        <w:rPr>
          <w:rFonts w:ascii="Times New Roman" w:hAnsi="Times New Roman" w:cs="Times New Roman"/>
          <w:color w:val="000000"/>
          <w:szCs w:val="24"/>
          <w:lang w:eastAsia="hr-HR"/>
        </w:rPr>
      </w:pPr>
      <w:r>
        <w:rPr>
          <w:rFonts w:ascii="Times New Roman" w:eastAsia="Times New Roman" w:hAnsi="Times New Roman" w:cs="Times New Roman"/>
          <w:bCs/>
          <w:szCs w:val="24"/>
        </w:rPr>
        <w:t xml:space="preserve">   </w:t>
      </w:r>
      <w:r w:rsidR="00B84170">
        <w:rPr>
          <w:spacing w:val="-3"/>
          <w:szCs w:val="24"/>
        </w:rPr>
        <w:tab/>
      </w:r>
      <w:r w:rsidR="00781ABC" w:rsidRPr="00B84170">
        <w:rPr>
          <w:rFonts w:ascii="Times New Roman" w:hAnsi="Times New Roman" w:cs="Times New Roman"/>
          <w:color w:val="000000"/>
          <w:szCs w:val="24"/>
          <w:lang w:eastAsia="hr-HR"/>
        </w:rPr>
        <w:t>Eventualno potrebna dodatna obrazloženja u vezi s pitanjem zastupnika</w:t>
      </w:r>
      <w:r w:rsidR="003E2C63">
        <w:rPr>
          <w:rFonts w:ascii="Times New Roman" w:hAnsi="Times New Roman" w:cs="Times New Roman"/>
          <w:color w:val="000000"/>
          <w:szCs w:val="24"/>
          <w:lang w:eastAsia="hr-HR"/>
        </w:rPr>
        <w:t>,</w:t>
      </w:r>
      <w:r w:rsidR="00781ABC" w:rsidRPr="00B84170">
        <w:rPr>
          <w:rFonts w:ascii="Times New Roman" w:hAnsi="Times New Roman" w:cs="Times New Roman"/>
          <w:color w:val="000000"/>
          <w:szCs w:val="24"/>
          <w:lang w:eastAsia="hr-HR"/>
        </w:rPr>
        <w:t xml:space="preserve"> dat će</w:t>
      </w:r>
      <w:r w:rsidR="0026448A" w:rsidRPr="00B84170">
        <w:rPr>
          <w:rFonts w:ascii="Times New Roman" w:hAnsi="Times New Roman" w:cs="Times New Roman"/>
          <w:color w:val="000000"/>
          <w:szCs w:val="24"/>
          <w:lang w:eastAsia="hr-HR"/>
        </w:rPr>
        <w:t xml:space="preserve"> </w:t>
      </w:r>
      <w:r w:rsidR="009178CD">
        <w:rPr>
          <w:rFonts w:ascii="Times New Roman" w:hAnsi="Times New Roman" w:cs="Times New Roman"/>
          <w:color w:val="000000"/>
          <w:szCs w:val="24"/>
          <w:lang w:eastAsia="hr-HR"/>
        </w:rPr>
        <w:t>Darko Horvat, ministar gospodarstva, poduzetništva i obrta.</w:t>
      </w:r>
    </w:p>
    <w:p w14:paraId="4CC938D4" w14:textId="77777777" w:rsidR="007577B3" w:rsidRDefault="007577B3" w:rsidP="007577B3">
      <w:pPr>
        <w:pStyle w:val="NoSpacing"/>
        <w:jc w:val="both"/>
        <w:rPr>
          <w:rFonts w:ascii="Times New Roman" w:hAnsi="Times New Roman" w:cs="Times New Roman"/>
          <w:color w:val="000000"/>
          <w:szCs w:val="24"/>
          <w:lang w:eastAsia="hr-HR"/>
        </w:rPr>
      </w:pPr>
    </w:p>
    <w:p w14:paraId="4CC938D5" w14:textId="77777777" w:rsidR="003471FA" w:rsidRDefault="003471FA" w:rsidP="007577B3">
      <w:pPr>
        <w:pStyle w:val="NoSpacing"/>
        <w:jc w:val="both"/>
        <w:rPr>
          <w:rFonts w:ascii="Times New Roman" w:hAnsi="Times New Roman" w:cs="Times New Roman"/>
          <w:color w:val="000000"/>
          <w:szCs w:val="24"/>
          <w:lang w:eastAsia="hr-HR"/>
        </w:rPr>
      </w:pPr>
    </w:p>
    <w:p w14:paraId="4CC938D6" w14:textId="7AE44465" w:rsidR="007577B3" w:rsidRDefault="0073037D" w:rsidP="004A45A5">
      <w:pPr>
        <w:pStyle w:val="NoSpacing"/>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070"/>
        </w:tabs>
        <w:jc w:val="both"/>
        <w:rPr>
          <w:rFonts w:ascii="Times New Roman" w:hAnsi="Times New Roman" w:cs="Times New Roman"/>
          <w:color w:val="000000"/>
          <w:szCs w:val="24"/>
          <w:lang w:eastAsia="hr-HR"/>
        </w:rPr>
      </w:pPr>
      <w:r>
        <w:rPr>
          <w:rFonts w:ascii="Times New Roman" w:hAnsi="Times New Roman" w:cs="Times New Roman"/>
          <w:color w:val="000000"/>
          <w:szCs w:val="24"/>
          <w:lang w:eastAsia="hr-HR"/>
        </w:rPr>
        <w:tab/>
      </w:r>
      <w:r>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t xml:space="preserve">         PREDSJEDNIK</w:t>
      </w:r>
      <w:r w:rsidR="004A45A5">
        <w:rPr>
          <w:rFonts w:ascii="Times New Roman" w:hAnsi="Times New Roman" w:cs="Times New Roman"/>
          <w:color w:val="000000"/>
          <w:szCs w:val="24"/>
          <w:lang w:eastAsia="hr-HR"/>
        </w:rPr>
        <w:tab/>
      </w:r>
      <w:r w:rsidR="004A45A5">
        <w:rPr>
          <w:rFonts w:ascii="Times New Roman" w:hAnsi="Times New Roman" w:cs="Times New Roman"/>
          <w:color w:val="000000"/>
          <w:szCs w:val="24"/>
          <w:lang w:eastAsia="hr-HR"/>
        </w:rPr>
        <w:tab/>
      </w:r>
    </w:p>
    <w:p w14:paraId="4CC938D7" w14:textId="77777777" w:rsidR="007577B3" w:rsidRDefault="007577B3" w:rsidP="007577B3">
      <w:pPr>
        <w:pStyle w:val="NoSpacing"/>
        <w:jc w:val="both"/>
        <w:rPr>
          <w:rFonts w:ascii="Times New Roman" w:hAnsi="Times New Roman" w:cs="Times New Roman"/>
          <w:color w:val="000000"/>
          <w:szCs w:val="24"/>
          <w:lang w:eastAsia="hr-HR"/>
        </w:rPr>
      </w:pPr>
    </w:p>
    <w:p w14:paraId="4CC938D8" w14:textId="77777777" w:rsidR="007577B3" w:rsidRDefault="007577B3" w:rsidP="007577B3">
      <w:pPr>
        <w:pStyle w:val="NoSpacing"/>
        <w:jc w:val="both"/>
        <w:rPr>
          <w:rFonts w:ascii="Times New Roman" w:hAnsi="Times New Roman" w:cs="Times New Roman"/>
          <w:color w:val="000000"/>
          <w:szCs w:val="24"/>
          <w:lang w:eastAsia="hr-HR"/>
        </w:rPr>
      </w:pPr>
    </w:p>
    <w:p w14:paraId="4CC938D9" w14:textId="2979C730" w:rsidR="009178CD" w:rsidRDefault="0073037D" w:rsidP="007577B3">
      <w:pPr>
        <w:pStyle w:val="NoSpacing"/>
        <w:jc w:val="both"/>
        <w:rPr>
          <w:spacing w:val="-3"/>
          <w:szCs w:val="24"/>
        </w:rPr>
      </w:pPr>
      <w:r>
        <w:rPr>
          <w:rFonts w:ascii="Times New Roman" w:hAnsi="Times New Roman" w:cs="Times New Roman"/>
          <w:color w:val="000000"/>
          <w:szCs w:val="24"/>
          <w:lang w:eastAsia="hr-HR"/>
        </w:rPr>
        <w:t xml:space="preserve">   </w:t>
      </w:r>
      <w:r>
        <w:rPr>
          <w:rFonts w:ascii="Times New Roman" w:hAnsi="Times New Roman" w:cs="Times New Roman"/>
          <w:color w:val="000000"/>
          <w:szCs w:val="24"/>
          <w:lang w:eastAsia="hr-HR"/>
        </w:rPr>
        <w:tab/>
      </w:r>
      <w:r>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r>
      <w:r w:rsidR="007577B3">
        <w:rPr>
          <w:rFonts w:ascii="Times New Roman" w:hAnsi="Times New Roman" w:cs="Times New Roman"/>
          <w:color w:val="000000"/>
          <w:szCs w:val="24"/>
          <w:lang w:eastAsia="hr-HR"/>
        </w:rPr>
        <w:tab/>
        <w:t xml:space="preserve">   mr. sc. Andrej Plenković</w:t>
      </w:r>
    </w:p>
    <w:sectPr w:rsidR="009178CD" w:rsidSect="007577B3">
      <w:headerReference w:type="even" r:id="rId14"/>
      <w:headerReference w:type="default" r:id="rId15"/>
      <w:endnotePr>
        <w:numFmt w:val="decimal"/>
      </w:endnotePr>
      <w:pgSz w:w="11906" w:h="16838"/>
      <w:pgMar w:top="1418" w:right="1418" w:bottom="1077" w:left="1418"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299D" w14:textId="77777777" w:rsidR="00BE54EB" w:rsidRDefault="00BE54EB">
      <w:r>
        <w:separator/>
      </w:r>
    </w:p>
  </w:endnote>
  <w:endnote w:type="continuationSeparator" w:id="0">
    <w:p w14:paraId="0EA7C0E9" w14:textId="77777777" w:rsidR="00BE54EB" w:rsidRDefault="00BE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95D7" w14:textId="77777777" w:rsidR="0034701B" w:rsidRPr="0034701B" w:rsidRDefault="0034701B" w:rsidP="0034701B">
    <w:pPr>
      <w:widowControl/>
      <w:rPr>
        <w:snapToGrid/>
        <w:szCs w:val="24"/>
        <w:lang w:eastAsia="hr-HR"/>
      </w:rPr>
    </w:pPr>
  </w:p>
  <w:p w14:paraId="37A245C1" w14:textId="77777777" w:rsidR="0034701B" w:rsidRPr="0034701B" w:rsidRDefault="0034701B" w:rsidP="0034701B">
    <w:pPr>
      <w:widowControl/>
      <w:pBdr>
        <w:top w:val="single" w:sz="4" w:space="1" w:color="404040"/>
      </w:pBdr>
      <w:tabs>
        <w:tab w:val="center" w:pos="4536"/>
        <w:tab w:val="right" w:pos="9072"/>
      </w:tabs>
      <w:jc w:val="center"/>
      <w:rPr>
        <w:snapToGrid/>
        <w:color w:val="404040"/>
        <w:spacing w:val="20"/>
        <w:sz w:val="20"/>
        <w:szCs w:val="24"/>
        <w:lang w:eastAsia="hr-HR"/>
      </w:rPr>
    </w:pPr>
    <w:r w:rsidRPr="0034701B">
      <w:rPr>
        <w:snapToGrid/>
        <w:color w:val="404040"/>
        <w:spacing w:val="20"/>
        <w:sz w:val="20"/>
        <w:szCs w:val="24"/>
        <w:lang w:eastAsia="hr-HR"/>
      </w:rPr>
      <w:t>Banski dvori | Trg Sv. Marka 2  | 10000 Zagreb | tel. 01 4569 222 | vlada.gov.hr</w:t>
    </w:r>
  </w:p>
  <w:p w14:paraId="170CB9C5" w14:textId="17CA715B" w:rsidR="004A45A5" w:rsidRPr="00D11885" w:rsidRDefault="004A45A5" w:rsidP="00D11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BF1F" w14:textId="77777777" w:rsidR="0034701B" w:rsidRPr="0034701B" w:rsidRDefault="0034701B" w:rsidP="0034701B">
    <w:pPr>
      <w:widowControl/>
      <w:rPr>
        <w:snapToGrid/>
        <w:szCs w:val="24"/>
        <w:lang w:eastAsia="hr-HR"/>
      </w:rPr>
    </w:pPr>
  </w:p>
  <w:p w14:paraId="1F630971" w14:textId="77777777" w:rsidR="0034701B" w:rsidRPr="0034701B" w:rsidRDefault="0034701B" w:rsidP="0034701B">
    <w:pPr>
      <w:widowControl/>
      <w:pBdr>
        <w:top w:val="single" w:sz="4" w:space="1" w:color="404040"/>
      </w:pBdr>
      <w:tabs>
        <w:tab w:val="center" w:pos="4536"/>
        <w:tab w:val="right" w:pos="9072"/>
      </w:tabs>
      <w:jc w:val="center"/>
      <w:rPr>
        <w:snapToGrid/>
        <w:color w:val="404040"/>
        <w:spacing w:val="20"/>
        <w:sz w:val="20"/>
        <w:szCs w:val="24"/>
        <w:lang w:eastAsia="hr-HR"/>
      </w:rPr>
    </w:pPr>
    <w:r w:rsidRPr="0034701B">
      <w:rPr>
        <w:snapToGrid/>
        <w:color w:val="404040"/>
        <w:spacing w:val="20"/>
        <w:sz w:val="20"/>
        <w:szCs w:val="24"/>
        <w:lang w:eastAsia="hr-HR"/>
      </w:rPr>
      <w:t>Banski dvori | Trg Sv. Marka 2  | 10000 Zagreb | tel. 01 4569 222 | vlada.gov.hr</w:t>
    </w:r>
  </w:p>
  <w:p w14:paraId="499AE4C7" w14:textId="77777777" w:rsidR="004A45A5" w:rsidRDefault="004A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346D" w14:textId="77777777" w:rsidR="00BE54EB" w:rsidRDefault="00BE54EB">
      <w:r>
        <w:separator/>
      </w:r>
    </w:p>
  </w:footnote>
  <w:footnote w:type="continuationSeparator" w:id="0">
    <w:p w14:paraId="61CDCAD1" w14:textId="77777777" w:rsidR="00BE54EB" w:rsidRDefault="00BE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38DE" w14:textId="77777777" w:rsidR="005255EB" w:rsidRDefault="001F4C76" w:rsidP="00D97D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938DF" w14:textId="77777777" w:rsidR="005255EB" w:rsidRDefault="00BE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38E0" w14:textId="77777777" w:rsidR="005255EB" w:rsidRDefault="001F4C76" w:rsidP="00D97D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01B">
      <w:rPr>
        <w:rStyle w:val="PageNumber"/>
        <w:noProof/>
      </w:rPr>
      <w:t>3</w:t>
    </w:r>
    <w:r>
      <w:rPr>
        <w:rStyle w:val="PageNumber"/>
      </w:rPr>
      <w:fldChar w:fldCharType="end"/>
    </w:r>
  </w:p>
  <w:p w14:paraId="4CC938E1" w14:textId="77777777" w:rsidR="005255EB" w:rsidRDefault="00BE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0DCC"/>
    <w:multiLevelType w:val="hybridMultilevel"/>
    <w:tmpl w:val="4F8E6C06"/>
    <w:lvl w:ilvl="0" w:tplc="DECCE1FE">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327B4B1B"/>
    <w:multiLevelType w:val="hybridMultilevel"/>
    <w:tmpl w:val="8EB660EA"/>
    <w:lvl w:ilvl="0" w:tplc="B0286254">
      <w:numFmt w:val="bullet"/>
      <w:lvlText w:val="-"/>
      <w:lvlJc w:val="left"/>
      <w:pPr>
        <w:ind w:left="1128" w:hanging="360"/>
      </w:pPr>
      <w:rPr>
        <w:rFonts w:ascii="Arial" w:eastAsia="Calibri" w:hAnsi="Arial" w:cs="Aria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 w15:restartNumberingAfterBreak="0">
    <w:nsid w:val="3D105879"/>
    <w:multiLevelType w:val="hybridMultilevel"/>
    <w:tmpl w:val="D1C4D4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6DA81E65"/>
    <w:multiLevelType w:val="hybridMultilevel"/>
    <w:tmpl w:val="A08EEB56"/>
    <w:lvl w:ilvl="0" w:tplc="E966B62C">
      <w:start w:val="1"/>
      <w:numFmt w:val="bullet"/>
      <w:lvlText w:val="-"/>
      <w:lvlJc w:val="left"/>
      <w:pPr>
        <w:ind w:left="360" w:hanging="360"/>
      </w:pPr>
      <w:rPr>
        <w:rFonts w:ascii="Simplified Arabic Fixed" w:hAnsi="Simplified Arabic Fixed"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76"/>
    <w:rsid w:val="00001725"/>
    <w:rsid w:val="00025193"/>
    <w:rsid w:val="00033B63"/>
    <w:rsid w:val="00083232"/>
    <w:rsid w:val="0009176C"/>
    <w:rsid w:val="000A0454"/>
    <w:rsid w:val="000A5107"/>
    <w:rsid w:val="000D7895"/>
    <w:rsid w:val="000E5355"/>
    <w:rsid w:val="000E58EE"/>
    <w:rsid w:val="000F4255"/>
    <w:rsid w:val="00111D6B"/>
    <w:rsid w:val="001204BF"/>
    <w:rsid w:val="00125A69"/>
    <w:rsid w:val="00152A12"/>
    <w:rsid w:val="00153F43"/>
    <w:rsid w:val="00154E45"/>
    <w:rsid w:val="00157E70"/>
    <w:rsid w:val="00160EF0"/>
    <w:rsid w:val="00173CA0"/>
    <w:rsid w:val="00177501"/>
    <w:rsid w:val="00177CA2"/>
    <w:rsid w:val="001A511D"/>
    <w:rsid w:val="001B2790"/>
    <w:rsid w:val="001B3C54"/>
    <w:rsid w:val="001E1240"/>
    <w:rsid w:val="001F4C76"/>
    <w:rsid w:val="00217C55"/>
    <w:rsid w:val="00224F01"/>
    <w:rsid w:val="00244781"/>
    <w:rsid w:val="002629AD"/>
    <w:rsid w:val="0026448A"/>
    <w:rsid w:val="002C5290"/>
    <w:rsid w:val="002C609A"/>
    <w:rsid w:val="002D3D2C"/>
    <w:rsid w:val="0034701B"/>
    <w:rsid w:val="003471FA"/>
    <w:rsid w:val="003976E6"/>
    <w:rsid w:val="003A5183"/>
    <w:rsid w:val="003B6DA4"/>
    <w:rsid w:val="003C2D3E"/>
    <w:rsid w:val="003E2C63"/>
    <w:rsid w:val="003F75E1"/>
    <w:rsid w:val="0040143D"/>
    <w:rsid w:val="00406DF9"/>
    <w:rsid w:val="00410E90"/>
    <w:rsid w:val="00426E43"/>
    <w:rsid w:val="00442C7F"/>
    <w:rsid w:val="004468CB"/>
    <w:rsid w:val="004701E4"/>
    <w:rsid w:val="004826BF"/>
    <w:rsid w:val="004925F4"/>
    <w:rsid w:val="0049261E"/>
    <w:rsid w:val="00497412"/>
    <w:rsid w:val="004A45A5"/>
    <w:rsid w:val="004B2A3A"/>
    <w:rsid w:val="004E303B"/>
    <w:rsid w:val="004F338E"/>
    <w:rsid w:val="0050062D"/>
    <w:rsid w:val="00522C10"/>
    <w:rsid w:val="00546C04"/>
    <w:rsid w:val="0055642C"/>
    <w:rsid w:val="00560BC0"/>
    <w:rsid w:val="00583DAC"/>
    <w:rsid w:val="0059676B"/>
    <w:rsid w:val="005A6436"/>
    <w:rsid w:val="005B3E25"/>
    <w:rsid w:val="005C2E09"/>
    <w:rsid w:val="005C3649"/>
    <w:rsid w:val="005C589B"/>
    <w:rsid w:val="005D6EF1"/>
    <w:rsid w:val="005F185F"/>
    <w:rsid w:val="005F1EEB"/>
    <w:rsid w:val="00631EDB"/>
    <w:rsid w:val="0063621F"/>
    <w:rsid w:val="00653A78"/>
    <w:rsid w:val="006551C6"/>
    <w:rsid w:val="00673C3F"/>
    <w:rsid w:val="006B43B2"/>
    <w:rsid w:val="006D075D"/>
    <w:rsid w:val="006E35AD"/>
    <w:rsid w:val="00702DF6"/>
    <w:rsid w:val="007148B1"/>
    <w:rsid w:val="0073037D"/>
    <w:rsid w:val="007328A9"/>
    <w:rsid w:val="007577B3"/>
    <w:rsid w:val="00757BCE"/>
    <w:rsid w:val="007609C6"/>
    <w:rsid w:val="00762EC4"/>
    <w:rsid w:val="00767596"/>
    <w:rsid w:val="00781ABC"/>
    <w:rsid w:val="00791BF0"/>
    <w:rsid w:val="007B75F1"/>
    <w:rsid w:val="007C07FF"/>
    <w:rsid w:val="007C17B3"/>
    <w:rsid w:val="007C2772"/>
    <w:rsid w:val="007D5CB9"/>
    <w:rsid w:val="00814417"/>
    <w:rsid w:val="00831C47"/>
    <w:rsid w:val="008742D3"/>
    <w:rsid w:val="008C5E8E"/>
    <w:rsid w:val="008F1604"/>
    <w:rsid w:val="0090058F"/>
    <w:rsid w:val="009178CD"/>
    <w:rsid w:val="0097081C"/>
    <w:rsid w:val="00971B0B"/>
    <w:rsid w:val="00976B31"/>
    <w:rsid w:val="009911D3"/>
    <w:rsid w:val="009C2AD9"/>
    <w:rsid w:val="009E66A4"/>
    <w:rsid w:val="009F12F9"/>
    <w:rsid w:val="00A01C8C"/>
    <w:rsid w:val="00A16293"/>
    <w:rsid w:val="00A22C33"/>
    <w:rsid w:val="00A23C4C"/>
    <w:rsid w:val="00A43AC4"/>
    <w:rsid w:val="00A52BEA"/>
    <w:rsid w:val="00A72561"/>
    <w:rsid w:val="00A90AB3"/>
    <w:rsid w:val="00B14214"/>
    <w:rsid w:val="00B64540"/>
    <w:rsid w:val="00B65F96"/>
    <w:rsid w:val="00B8384B"/>
    <w:rsid w:val="00B84170"/>
    <w:rsid w:val="00BB70FB"/>
    <w:rsid w:val="00BD0581"/>
    <w:rsid w:val="00BD3DC8"/>
    <w:rsid w:val="00BE0600"/>
    <w:rsid w:val="00BE54EB"/>
    <w:rsid w:val="00BF4A63"/>
    <w:rsid w:val="00C17990"/>
    <w:rsid w:val="00C23321"/>
    <w:rsid w:val="00C3537C"/>
    <w:rsid w:val="00C54D2C"/>
    <w:rsid w:val="00C55F85"/>
    <w:rsid w:val="00C57E5F"/>
    <w:rsid w:val="00C72F48"/>
    <w:rsid w:val="00C954F3"/>
    <w:rsid w:val="00CA359B"/>
    <w:rsid w:val="00CB5FC8"/>
    <w:rsid w:val="00D0531F"/>
    <w:rsid w:val="00D11885"/>
    <w:rsid w:val="00D32892"/>
    <w:rsid w:val="00D64045"/>
    <w:rsid w:val="00D70FE3"/>
    <w:rsid w:val="00D7468F"/>
    <w:rsid w:val="00D81EAC"/>
    <w:rsid w:val="00D8573B"/>
    <w:rsid w:val="00D96574"/>
    <w:rsid w:val="00DA20B9"/>
    <w:rsid w:val="00DB3F28"/>
    <w:rsid w:val="00DC5D57"/>
    <w:rsid w:val="00DC70C9"/>
    <w:rsid w:val="00E02051"/>
    <w:rsid w:val="00E2159A"/>
    <w:rsid w:val="00E557A5"/>
    <w:rsid w:val="00E5710B"/>
    <w:rsid w:val="00E57349"/>
    <w:rsid w:val="00E77B9F"/>
    <w:rsid w:val="00E81ACF"/>
    <w:rsid w:val="00E84E26"/>
    <w:rsid w:val="00E903B8"/>
    <w:rsid w:val="00EA1C06"/>
    <w:rsid w:val="00EC1073"/>
    <w:rsid w:val="00EC13FB"/>
    <w:rsid w:val="00EE3F1E"/>
    <w:rsid w:val="00F12FA9"/>
    <w:rsid w:val="00F14AF4"/>
    <w:rsid w:val="00F5702D"/>
    <w:rsid w:val="00F574D0"/>
    <w:rsid w:val="00F900B6"/>
    <w:rsid w:val="00F91D95"/>
    <w:rsid w:val="00FB5129"/>
    <w:rsid w:val="00FE1C87"/>
    <w:rsid w:val="00FE5020"/>
    <w:rsid w:val="00FF76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38B9"/>
  <w15:docId w15:val="{46401C0F-BC03-466E-8A8C-8208B0A7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76"/>
    <w:pPr>
      <w:widowControl w:val="0"/>
    </w:pPr>
    <w:rPr>
      <w:rFonts w:eastAsia="Times New Roman" w:cs="Times New Roman"/>
      <w:snapToGrid w:val="0"/>
      <w:szCs w:val="20"/>
    </w:rPr>
  </w:style>
  <w:style w:type="paragraph" w:styleId="Heading1">
    <w:name w:val="heading 1"/>
    <w:basedOn w:val="Normal"/>
    <w:next w:val="Normal"/>
    <w:link w:val="Heading1Char"/>
    <w:uiPriority w:val="9"/>
    <w:qFormat/>
    <w:rsid w:val="004468CB"/>
    <w:pPr>
      <w:keepNext/>
      <w:keepLines/>
      <w:widowControl/>
      <w:spacing w:before="240"/>
      <w:outlineLvl w:val="0"/>
    </w:pPr>
    <w:rPr>
      <w:rFonts w:asciiTheme="majorHAnsi" w:eastAsiaTheme="majorEastAsia" w:hAnsiTheme="majorHAnsi" w:cstheme="majorBidi"/>
      <w:snapToGrid/>
      <w:color w:val="365F91" w:themeColor="accent1" w:themeShade="BF"/>
      <w:sz w:val="32"/>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4C76"/>
    <w:pPr>
      <w:tabs>
        <w:tab w:val="center" w:pos="4153"/>
        <w:tab w:val="right" w:pos="8306"/>
      </w:tabs>
    </w:pPr>
  </w:style>
  <w:style w:type="character" w:customStyle="1" w:styleId="HeaderChar">
    <w:name w:val="Header Char"/>
    <w:basedOn w:val="DefaultParagraphFont"/>
    <w:link w:val="Header"/>
    <w:rsid w:val="001F4C76"/>
    <w:rPr>
      <w:rFonts w:eastAsia="Times New Roman" w:cs="Times New Roman"/>
      <w:snapToGrid w:val="0"/>
      <w:szCs w:val="20"/>
    </w:rPr>
  </w:style>
  <w:style w:type="character" w:styleId="PageNumber">
    <w:name w:val="page number"/>
    <w:basedOn w:val="DefaultParagraphFont"/>
    <w:rsid w:val="001F4C76"/>
  </w:style>
  <w:style w:type="character" w:styleId="Hyperlink">
    <w:name w:val="Hyperlink"/>
    <w:rsid w:val="001F4C76"/>
    <w:rPr>
      <w:color w:val="0000FF"/>
      <w:u w:val="single"/>
    </w:rPr>
  </w:style>
  <w:style w:type="paragraph" w:styleId="BalloonText">
    <w:name w:val="Balloon Text"/>
    <w:basedOn w:val="Normal"/>
    <w:link w:val="BalloonTextChar"/>
    <w:uiPriority w:val="99"/>
    <w:semiHidden/>
    <w:unhideWhenUsed/>
    <w:rsid w:val="000E58EE"/>
    <w:rPr>
      <w:rFonts w:ascii="Tahoma" w:hAnsi="Tahoma" w:cs="Tahoma"/>
      <w:sz w:val="16"/>
      <w:szCs w:val="16"/>
    </w:rPr>
  </w:style>
  <w:style w:type="character" w:customStyle="1" w:styleId="BalloonTextChar">
    <w:name w:val="Balloon Text Char"/>
    <w:basedOn w:val="DefaultParagraphFont"/>
    <w:link w:val="BalloonText"/>
    <w:uiPriority w:val="99"/>
    <w:semiHidden/>
    <w:rsid w:val="000E58EE"/>
    <w:rPr>
      <w:rFonts w:ascii="Tahoma" w:eastAsia="Times New Roman" w:hAnsi="Tahoma" w:cs="Tahoma"/>
      <w:snapToGrid w:val="0"/>
      <w:sz w:val="16"/>
      <w:szCs w:val="16"/>
    </w:rPr>
  </w:style>
  <w:style w:type="character" w:customStyle="1" w:styleId="NoSpacingChar">
    <w:name w:val="No Spacing Char"/>
    <w:basedOn w:val="DefaultParagraphFont"/>
    <w:link w:val="NoSpacing"/>
    <w:uiPriority w:val="1"/>
    <w:locked/>
    <w:rsid w:val="00001725"/>
    <w:rPr>
      <w:rFonts w:asciiTheme="minorHAnsi" w:hAnsiTheme="minorHAnsi"/>
    </w:rPr>
  </w:style>
  <w:style w:type="paragraph" w:styleId="NoSpacing">
    <w:name w:val="No Spacing"/>
    <w:link w:val="NoSpacingChar"/>
    <w:qFormat/>
    <w:rsid w:val="00001725"/>
    <w:rPr>
      <w:rFonts w:asciiTheme="minorHAnsi" w:hAnsiTheme="minorHAnsi"/>
    </w:rPr>
  </w:style>
  <w:style w:type="paragraph" w:customStyle="1" w:styleId="Default">
    <w:name w:val="Default"/>
    <w:uiPriority w:val="99"/>
    <w:rsid w:val="00001725"/>
    <w:pPr>
      <w:autoSpaceDE w:val="0"/>
      <w:autoSpaceDN w:val="0"/>
      <w:adjustRightInd w:val="0"/>
    </w:pPr>
    <w:rPr>
      <w:rFonts w:ascii="Arial" w:eastAsia="Times New Roman" w:hAnsi="Arial" w:cs="Arial"/>
      <w:color w:val="000000"/>
      <w:szCs w:val="24"/>
      <w:lang w:eastAsia="hr-HR"/>
    </w:rPr>
  </w:style>
  <w:style w:type="paragraph" w:styleId="BodyText">
    <w:name w:val="Body Text"/>
    <w:basedOn w:val="Normal"/>
    <w:link w:val="BodyTextChar"/>
    <w:rsid w:val="00497412"/>
    <w:pPr>
      <w:widowControl/>
      <w:jc w:val="both"/>
    </w:pPr>
    <w:rPr>
      <w:snapToGrid/>
      <w:szCs w:val="24"/>
      <w:lang w:eastAsia="hr-HR"/>
    </w:rPr>
  </w:style>
  <w:style w:type="character" w:customStyle="1" w:styleId="BodyTextChar">
    <w:name w:val="Body Text Char"/>
    <w:basedOn w:val="DefaultParagraphFont"/>
    <w:link w:val="BodyText"/>
    <w:rsid w:val="00497412"/>
    <w:rPr>
      <w:rFonts w:eastAsia="Times New Roman" w:cs="Times New Roman"/>
      <w:szCs w:val="24"/>
      <w:lang w:eastAsia="hr-HR"/>
    </w:rPr>
  </w:style>
  <w:style w:type="paragraph" w:styleId="BodyTextIndent2">
    <w:name w:val="Body Text Indent 2"/>
    <w:basedOn w:val="Normal"/>
    <w:link w:val="BodyTextIndent2Char"/>
    <w:uiPriority w:val="99"/>
    <w:semiHidden/>
    <w:unhideWhenUsed/>
    <w:rsid w:val="00E02051"/>
    <w:pPr>
      <w:spacing w:after="120" w:line="480" w:lineRule="auto"/>
      <w:ind w:left="283"/>
    </w:pPr>
  </w:style>
  <w:style w:type="character" w:customStyle="1" w:styleId="BodyTextIndent2Char">
    <w:name w:val="Body Text Indent 2 Char"/>
    <w:basedOn w:val="DefaultParagraphFont"/>
    <w:link w:val="BodyTextIndent2"/>
    <w:uiPriority w:val="99"/>
    <w:semiHidden/>
    <w:rsid w:val="00E02051"/>
    <w:rPr>
      <w:rFonts w:eastAsia="Times New Roman" w:cs="Times New Roman"/>
      <w:snapToGrid w:val="0"/>
      <w:szCs w:val="20"/>
    </w:rPr>
  </w:style>
  <w:style w:type="paragraph" w:styleId="BodyTextIndent3">
    <w:name w:val="Body Text Indent 3"/>
    <w:basedOn w:val="Normal"/>
    <w:link w:val="BodyTextIndent3Char"/>
    <w:uiPriority w:val="99"/>
    <w:semiHidden/>
    <w:unhideWhenUsed/>
    <w:rsid w:val="00E020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2051"/>
    <w:rPr>
      <w:rFonts w:eastAsia="Times New Roman" w:cs="Times New Roman"/>
      <w:snapToGrid w:val="0"/>
      <w:sz w:val="16"/>
      <w:szCs w:val="16"/>
    </w:rPr>
  </w:style>
  <w:style w:type="paragraph" w:styleId="ListParagraph">
    <w:name w:val="List Paragraph"/>
    <w:basedOn w:val="Normal"/>
    <w:uiPriority w:val="34"/>
    <w:qFormat/>
    <w:rsid w:val="00653A78"/>
    <w:pPr>
      <w:widowControl/>
      <w:spacing w:after="200" w:line="276" w:lineRule="auto"/>
      <w:ind w:left="720"/>
      <w:contextualSpacing/>
    </w:pPr>
    <w:rPr>
      <w:rFonts w:ascii="Calibri" w:eastAsia="Calibri" w:hAnsi="Calibri"/>
      <w:snapToGrid/>
      <w:sz w:val="22"/>
      <w:szCs w:val="22"/>
    </w:rPr>
  </w:style>
  <w:style w:type="paragraph" w:styleId="PlainText">
    <w:name w:val="Plain Text"/>
    <w:basedOn w:val="Normal"/>
    <w:link w:val="PlainTextChar"/>
    <w:uiPriority w:val="99"/>
    <w:semiHidden/>
    <w:unhideWhenUsed/>
    <w:rsid w:val="00653A78"/>
    <w:pPr>
      <w:widowControl/>
    </w:pPr>
    <w:rPr>
      <w:rFonts w:ascii="Consolas" w:eastAsiaTheme="minorHAnsi" w:hAnsi="Consolas" w:cs="Consolas"/>
      <w:snapToGrid/>
      <w:sz w:val="21"/>
      <w:szCs w:val="21"/>
      <w:lang w:eastAsia="hr-HR"/>
    </w:rPr>
  </w:style>
  <w:style w:type="character" w:customStyle="1" w:styleId="PlainTextChar">
    <w:name w:val="Plain Text Char"/>
    <w:basedOn w:val="DefaultParagraphFont"/>
    <w:link w:val="PlainText"/>
    <w:uiPriority w:val="99"/>
    <w:semiHidden/>
    <w:rsid w:val="00653A78"/>
    <w:rPr>
      <w:rFonts w:ascii="Consolas" w:hAnsi="Consolas" w:cs="Consolas"/>
      <w:sz w:val="21"/>
      <w:szCs w:val="21"/>
      <w:lang w:eastAsia="hr-HR"/>
    </w:rPr>
  </w:style>
  <w:style w:type="character" w:customStyle="1" w:styleId="Heading1Char">
    <w:name w:val="Heading 1 Char"/>
    <w:basedOn w:val="DefaultParagraphFont"/>
    <w:link w:val="Heading1"/>
    <w:uiPriority w:val="9"/>
    <w:rsid w:val="004468CB"/>
    <w:rPr>
      <w:rFonts w:asciiTheme="majorHAnsi" w:eastAsiaTheme="majorEastAsia" w:hAnsiTheme="majorHAnsi" w:cstheme="majorBidi"/>
      <w:color w:val="365F91" w:themeColor="accent1" w:themeShade="BF"/>
      <w:sz w:val="32"/>
      <w:szCs w:val="32"/>
      <w:lang w:eastAsia="hr-HR"/>
    </w:rPr>
  </w:style>
  <w:style w:type="paragraph" w:styleId="Footer">
    <w:name w:val="footer"/>
    <w:basedOn w:val="Normal"/>
    <w:link w:val="FooterChar"/>
    <w:uiPriority w:val="99"/>
    <w:rsid w:val="004A45A5"/>
    <w:pPr>
      <w:widowControl/>
      <w:tabs>
        <w:tab w:val="center" w:pos="4536"/>
        <w:tab w:val="right" w:pos="9072"/>
      </w:tabs>
    </w:pPr>
    <w:rPr>
      <w:snapToGrid/>
      <w:szCs w:val="24"/>
      <w:lang w:eastAsia="hr-HR"/>
    </w:rPr>
  </w:style>
  <w:style w:type="character" w:customStyle="1" w:styleId="FooterChar">
    <w:name w:val="Footer Char"/>
    <w:basedOn w:val="DefaultParagraphFont"/>
    <w:link w:val="Footer"/>
    <w:uiPriority w:val="99"/>
    <w:rsid w:val="004A45A5"/>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2746">
      <w:bodyDiv w:val="1"/>
      <w:marLeft w:val="0"/>
      <w:marRight w:val="0"/>
      <w:marTop w:val="0"/>
      <w:marBottom w:val="0"/>
      <w:divBdr>
        <w:top w:val="none" w:sz="0" w:space="0" w:color="auto"/>
        <w:left w:val="none" w:sz="0" w:space="0" w:color="auto"/>
        <w:bottom w:val="none" w:sz="0" w:space="0" w:color="auto"/>
        <w:right w:val="none" w:sz="0" w:space="0" w:color="auto"/>
      </w:divBdr>
    </w:div>
    <w:div w:id="1059286018">
      <w:bodyDiv w:val="1"/>
      <w:marLeft w:val="0"/>
      <w:marRight w:val="0"/>
      <w:marTop w:val="0"/>
      <w:marBottom w:val="0"/>
      <w:divBdr>
        <w:top w:val="none" w:sz="0" w:space="0" w:color="auto"/>
        <w:left w:val="none" w:sz="0" w:space="0" w:color="auto"/>
        <w:bottom w:val="none" w:sz="0" w:space="0" w:color="auto"/>
        <w:right w:val="none" w:sz="0" w:space="0" w:color="auto"/>
      </w:divBdr>
    </w:div>
    <w:div w:id="1165242858">
      <w:bodyDiv w:val="1"/>
      <w:marLeft w:val="0"/>
      <w:marRight w:val="0"/>
      <w:marTop w:val="0"/>
      <w:marBottom w:val="0"/>
      <w:divBdr>
        <w:top w:val="none" w:sz="0" w:space="0" w:color="auto"/>
        <w:left w:val="none" w:sz="0" w:space="0" w:color="auto"/>
        <w:bottom w:val="none" w:sz="0" w:space="0" w:color="auto"/>
        <w:right w:val="none" w:sz="0" w:space="0" w:color="auto"/>
      </w:divBdr>
    </w:div>
    <w:div w:id="1261526146">
      <w:bodyDiv w:val="1"/>
      <w:marLeft w:val="0"/>
      <w:marRight w:val="0"/>
      <w:marTop w:val="0"/>
      <w:marBottom w:val="0"/>
      <w:divBdr>
        <w:top w:val="none" w:sz="0" w:space="0" w:color="auto"/>
        <w:left w:val="none" w:sz="0" w:space="0" w:color="auto"/>
        <w:bottom w:val="none" w:sz="0" w:space="0" w:color="auto"/>
        <w:right w:val="none" w:sz="0" w:space="0" w:color="auto"/>
      </w:divBdr>
    </w:div>
    <w:div w:id="19165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3E477B-3953-4371-A101-3E47A9432334}">
  <ds:schemaRefs>
    <ds:schemaRef ds:uri="http://schemas.microsoft.com/sharepoint/v3/contenttype/forms"/>
  </ds:schemaRefs>
</ds:datastoreItem>
</file>

<file path=customXml/itemProps2.xml><?xml version="1.0" encoding="utf-8"?>
<ds:datastoreItem xmlns:ds="http://schemas.openxmlformats.org/officeDocument/2006/customXml" ds:itemID="{00C7B346-2A37-43C6-AEA2-783A94CC9C39}">
  <ds:schemaRefs>
    <ds:schemaRef ds:uri="http://schemas.microsoft.com/sharepoint/events"/>
  </ds:schemaRefs>
</ds:datastoreItem>
</file>

<file path=customXml/itemProps3.xml><?xml version="1.0" encoding="utf-8"?>
<ds:datastoreItem xmlns:ds="http://schemas.openxmlformats.org/officeDocument/2006/customXml" ds:itemID="{69AE9950-1977-4E0F-8DEF-BF3146DB9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8DD53-FE63-4BF1-BDB9-3DBFE9D2A7F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Bartolec</dc:creator>
  <cp:lastModifiedBy>Vlatka Šelimber</cp:lastModifiedBy>
  <cp:revision>2</cp:revision>
  <cp:lastPrinted>2019-01-22T12:26:00Z</cp:lastPrinted>
  <dcterms:created xsi:type="dcterms:W3CDTF">2019-01-23T08:51:00Z</dcterms:created>
  <dcterms:modified xsi:type="dcterms:W3CDTF">2019-01-23T08:51:00Z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